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教育学院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举办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届全日制专业学位教育硕士研究生</w:t>
      </w:r>
    </w:p>
    <w:p>
      <w:pPr>
        <w:spacing w:line="400" w:lineRule="exact"/>
        <w:jc w:val="center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教学技能竞赛的通知</w:t>
      </w:r>
    </w:p>
    <w:bookmarkEnd w:id="0"/>
    <w:p>
      <w:pPr>
        <w:spacing w:line="400" w:lineRule="exact"/>
        <w:ind w:firstLine="574" w:firstLineChars="205"/>
        <w:rPr>
          <w:sz w:val="28"/>
          <w:szCs w:val="28"/>
        </w:rPr>
      </w:pPr>
      <w:r>
        <w:rPr>
          <w:rFonts w:hint="eastAsia"/>
          <w:sz w:val="28"/>
          <w:szCs w:val="28"/>
        </w:rPr>
        <w:t>为培养具有先进教学理念、扎实教学基本功的未来中小学优秀教师，促进我院全日制专业硕士教学能力的提升，教育学院将举办第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届全日制专业学位教育硕士研究生教学技能竞赛。</w:t>
      </w:r>
    </w:p>
    <w:p>
      <w:pPr>
        <w:spacing w:before="120" w:beforeLines="50" w:line="4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一、组委会</w:t>
      </w:r>
    </w:p>
    <w:p>
      <w:pPr>
        <w:spacing w:line="400" w:lineRule="exact"/>
        <w:ind w:firstLine="574" w:firstLineChars="205"/>
        <w:rPr>
          <w:sz w:val="28"/>
          <w:szCs w:val="28"/>
        </w:rPr>
      </w:pPr>
      <w:r>
        <w:rPr>
          <w:rFonts w:hint="eastAsia"/>
          <w:sz w:val="28"/>
          <w:szCs w:val="28"/>
        </w:rPr>
        <w:t>主任委员：</w:t>
      </w:r>
      <w:r>
        <w:rPr>
          <w:rFonts w:hint="eastAsia"/>
          <w:sz w:val="28"/>
          <w:szCs w:val="28"/>
          <w:lang w:val="en-US" w:eastAsia="zh-CN"/>
        </w:rPr>
        <w:t>刘旭东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委员：李瑾瑜</w:t>
      </w:r>
      <w:r>
        <w:rPr>
          <w:rFonts w:hint="eastAsia"/>
          <w:sz w:val="28"/>
          <w:szCs w:val="28"/>
          <w:lang w:val="en-US" w:eastAsia="zh-CN"/>
        </w:rPr>
        <w:t xml:space="preserve"> 、</w:t>
      </w:r>
      <w:r>
        <w:rPr>
          <w:rFonts w:hint="eastAsia"/>
          <w:sz w:val="28"/>
          <w:szCs w:val="28"/>
        </w:rPr>
        <w:t>刘旭东</w:t>
      </w:r>
      <w:r>
        <w:rPr>
          <w:rFonts w:hint="eastAsia"/>
          <w:sz w:val="28"/>
          <w:szCs w:val="28"/>
          <w:lang w:val="en-US" w:eastAsia="zh-CN"/>
        </w:rPr>
        <w:t xml:space="preserve"> 、</w:t>
      </w:r>
      <w:r>
        <w:rPr>
          <w:rFonts w:hint="eastAsia"/>
          <w:sz w:val="28"/>
          <w:szCs w:val="28"/>
        </w:rPr>
        <w:t>石义堂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张定强</w:t>
      </w:r>
      <w:r>
        <w:rPr>
          <w:rFonts w:hint="eastAsia"/>
          <w:sz w:val="28"/>
          <w:szCs w:val="28"/>
          <w:lang w:val="en-US" w:eastAsia="zh-CN"/>
        </w:rPr>
        <w:t xml:space="preserve"> 、</w:t>
      </w:r>
      <w:r>
        <w:rPr>
          <w:rFonts w:hint="eastAsia"/>
          <w:sz w:val="28"/>
          <w:szCs w:val="28"/>
        </w:rPr>
        <w:t xml:space="preserve"> 张学强</w:t>
      </w:r>
      <w:r>
        <w:rPr>
          <w:rFonts w:hint="eastAsia"/>
          <w:sz w:val="28"/>
          <w:szCs w:val="28"/>
          <w:lang w:val="en-US" w:eastAsia="zh-CN"/>
        </w:rPr>
        <w:t xml:space="preserve"> 、</w:t>
      </w:r>
      <w:r>
        <w:rPr>
          <w:rFonts w:hint="eastAsia"/>
          <w:sz w:val="28"/>
          <w:szCs w:val="28"/>
        </w:rPr>
        <w:t>吕世虎</w:t>
      </w:r>
      <w:r>
        <w:rPr>
          <w:rFonts w:hint="eastAsia"/>
          <w:sz w:val="28"/>
          <w:szCs w:val="28"/>
          <w:lang w:val="en-US" w:eastAsia="zh-CN"/>
        </w:rPr>
        <w:t xml:space="preserve"> 、</w:t>
      </w:r>
      <w:r>
        <w:rPr>
          <w:rFonts w:hint="eastAsia"/>
          <w:sz w:val="28"/>
          <w:szCs w:val="28"/>
        </w:rPr>
        <w:t xml:space="preserve"> 李泽林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孙爱琴</w:t>
      </w:r>
      <w:r>
        <w:rPr>
          <w:rFonts w:hint="eastAsia"/>
          <w:sz w:val="28"/>
          <w:szCs w:val="28"/>
          <w:lang w:val="en-US" w:eastAsia="zh-CN"/>
        </w:rPr>
        <w:t xml:space="preserve"> 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王卫军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秘书：</w:t>
      </w:r>
      <w:r>
        <w:rPr>
          <w:rFonts w:hint="eastAsia"/>
          <w:sz w:val="28"/>
          <w:szCs w:val="28"/>
          <w:lang w:val="en-US" w:eastAsia="zh-CN"/>
        </w:rPr>
        <w:t>李红娟</w:t>
      </w:r>
    </w:p>
    <w:p>
      <w:pPr>
        <w:spacing w:before="120" w:beforeLines="50" w:line="4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二、参赛对象</w:t>
      </w:r>
    </w:p>
    <w:p>
      <w:pPr>
        <w:spacing w:line="400" w:lineRule="exact"/>
        <w:ind w:firstLine="560" w:firstLineChars="200"/>
        <w:rPr>
          <w:color w:val="0000FF"/>
          <w:sz w:val="28"/>
          <w:szCs w:val="28"/>
        </w:rPr>
      </w:pPr>
      <w:r>
        <w:rPr>
          <w:rFonts w:hint="eastAsia"/>
          <w:sz w:val="28"/>
          <w:szCs w:val="28"/>
        </w:rPr>
        <w:t>教育学院2018级全日制专业学位硕士研究生。</w:t>
      </w:r>
    </w:p>
    <w:p>
      <w:pPr>
        <w:spacing w:before="120" w:beforeLines="50" w:line="4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三、竞赛程序与要求</w:t>
      </w:r>
    </w:p>
    <w:p>
      <w:pPr>
        <w:tabs>
          <w:tab w:val="left" w:pos="675"/>
        </w:tabs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竞赛分为预赛和决赛两个阶段。</w:t>
      </w:r>
    </w:p>
    <w:p>
      <w:pPr>
        <w:tabs>
          <w:tab w:val="left" w:pos="675"/>
        </w:tabs>
        <w:spacing w:line="400" w:lineRule="exact"/>
        <w:ind w:firstLine="562" w:firstLineChars="20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（一）预赛（201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auto"/>
          <w:sz w:val="28"/>
          <w:szCs w:val="28"/>
        </w:rPr>
        <w:t>年11月2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auto"/>
          <w:sz w:val="28"/>
          <w:szCs w:val="28"/>
        </w:rPr>
        <w:t>日—201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auto"/>
          <w:sz w:val="28"/>
          <w:szCs w:val="28"/>
        </w:rPr>
        <w:t>年12月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auto"/>
          <w:sz w:val="28"/>
          <w:szCs w:val="28"/>
        </w:rPr>
        <w:t>日）</w:t>
      </w:r>
    </w:p>
    <w:p>
      <w:pPr>
        <w:tabs>
          <w:tab w:val="left" w:pos="675"/>
        </w:tabs>
        <w:spacing w:line="4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各专业由负责人组织，根据决赛的内容和要求进行专业内预赛，选拔出参加决赛的选手。</w:t>
      </w:r>
    </w:p>
    <w:p>
      <w:pPr>
        <w:tabs>
          <w:tab w:val="left" w:pos="675"/>
        </w:tabs>
        <w:spacing w:line="400" w:lineRule="exact"/>
        <w:ind w:firstLine="560" w:firstLineChars="2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各专业负责人及参加决赛名额如下</w:t>
      </w:r>
      <w:r>
        <w:rPr>
          <w:rFonts w:hint="eastAsia"/>
          <w:sz w:val="28"/>
          <w:szCs w:val="28"/>
          <w:lang w:eastAsia="zh-CN"/>
        </w:rPr>
        <w:t>：</w:t>
      </w:r>
    </w:p>
    <w:tbl>
      <w:tblPr>
        <w:tblStyle w:val="5"/>
        <w:tblW w:w="8870" w:type="dxa"/>
        <w:jc w:val="center"/>
        <w:tblInd w:w="-6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1409"/>
        <w:gridCol w:w="2088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5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409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各专业学生占比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参加决赛名额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5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学科教学（思政）</w:t>
            </w:r>
          </w:p>
        </w:tc>
        <w:tc>
          <w:tcPr>
            <w:tcW w:w="1409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卓 杰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5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学科教学（语文）</w:t>
            </w:r>
          </w:p>
        </w:tc>
        <w:tc>
          <w:tcPr>
            <w:tcW w:w="1409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李金云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5.75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5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学科教学（数学）</w:t>
            </w:r>
          </w:p>
        </w:tc>
        <w:tc>
          <w:tcPr>
            <w:tcW w:w="1409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李保臻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5.75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5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学科教学（物理）</w:t>
            </w:r>
          </w:p>
        </w:tc>
        <w:tc>
          <w:tcPr>
            <w:tcW w:w="1409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王太军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5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学科教学（化学）</w:t>
            </w:r>
          </w:p>
        </w:tc>
        <w:tc>
          <w:tcPr>
            <w:tcW w:w="1409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方洁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5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学科教学（生物）</w:t>
            </w:r>
          </w:p>
        </w:tc>
        <w:tc>
          <w:tcPr>
            <w:tcW w:w="1409" w:type="dxa"/>
            <w:vAlign w:val="bottom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郝雪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b w:val="0"/>
                <w:bCs w:val="0"/>
                <w:color w:val="00B0F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5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学科教学（历史）</w:t>
            </w:r>
          </w:p>
        </w:tc>
        <w:tc>
          <w:tcPr>
            <w:tcW w:w="1409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苏向荣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5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学科教学（地理）</w:t>
            </w:r>
          </w:p>
        </w:tc>
        <w:tc>
          <w:tcPr>
            <w:tcW w:w="1409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赵生龙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1.75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5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学前教育</w:t>
            </w:r>
          </w:p>
        </w:tc>
        <w:tc>
          <w:tcPr>
            <w:tcW w:w="1409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孙爱琴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rFonts w:hint="eastAsia" w:eastAsiaTheme="minor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5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特殊教育</w:t>
            </w:r>
          </w:p>
        </w:tc>
        <w:tc>
          <w:tcPr>
            <w:tcW w:w="1409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杨中枢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4" w:type="dxa"/>
            <w:gridSpan w:val="2"/>
            <w:vAlign w:val="bottom"/>
          </w:tcPr>
          <w:p>
            <w:pPr>
              <w:tabs>
                <w:tab w:val="left" w:pos="675"/>
              </w:tabs>
              <w:spacing w:line="400" w:lineRule="exact"/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Align w:val="bottom"/>
          </w:tcPr>
          <w:p>
            <w:pPr>
              <w:tabs>
                <w:tab w:val="left" w:pos="675"/>
              </w:tabs>
              <w:spacing w:line="400" w:lineRule="exact"/>
              <w:ind w:firstLine="480" w:firstLineChars="200"/>
              <w:jc w:val="center"/>
              <w:rPr>
                <w:rFonts w:hint="default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</w:tr>
    </w:tbl>
    <w:p>
      <w:pPr>
        <w:tabs>
          <w:tab w:val="left" w:pos="675"/>
        </w:tabs>
        <w:spacing w:line="400" w:lineRule="exact"/>
        <w:ind w:firstLine="422" w:firstLineChars="15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（二）决赛（201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auto"/>
          <w:sz w:val="28"/>
          <w:szCs w:val="28"/>
        </w:rPr>
        <w:t>年12月1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auto"/>
          <w:sz w:val="28"/>
          <w:szCs w:val="28"/>
        </w:rPr>
        <w:t>日）</w:t>
      </w:r>
    </w:p>
    <w:p>
      <w:pPr>
        <w:tabs>
          <w:tab w:val="left" w:pos="675"/>
        </w:tabs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决赛包括说课、模拟上课、回答问题三个环节。</w:t>
      </w:r>
    </w:p>
    <w:p>
      <w:pPr>
        <w:tabs>
          <w:tab w:val="left" w:pos="675"/>
        </w:tabs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教学内容的选择：参赛者自行选择准备所教高中、初中、幼儿园各学科（领域）的两个教学内容（两个教学内容来自两个教学单元，每个内容授课时间为15分钟），按照课程标准进行准备。在决赛现场由评委会主席在两个教学内容中抽取其一为授课内容。</w:t>
      </w:r>
    </w:p>
    <w:p>
      <w:pPr>
        <w:tabs>
          <w:tab w:val="left" w:pos="675"/>
        </w:tabs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说课：参赛者需要叙述并分析本节课的教学目标、教学内容及重点与难点、教学思路等。时间5分钟。参赛者需要在比赛当天提交教学设计稿五份。</w:t>
      </w:r>
    </w:p>
    <w:p>
      <w:pPr>
        <w:tabs>
          <w:tab w:val="left" w:pos="675"/>
        </w:tabs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模拟上课：根据教学设计模拟上课。时间15分钟。</w:t>
      </w:r>
    </w:p>
    <w:p>
      <w:pPr>
        <w:tabs>
          <w:tab w:val="left" w:pos="675"/>
        </w:tabs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回答问题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回答评委结合说课与模拟上课提出的问题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时间3分钟。</w:t>
      </w:r>
    </w:p>
    <w:p>
      <w:pPr>
        <w:tabs>
          <w:tab w:val="left" w:pos="675"/>
        </w:tabs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评分细则如下：</w:t>
      </w:r>
    </w:p>
    <w:tbl>
      <w:tblPr>
        <w:tblStyle w:val="5"/>
        <w:tblpPr w:leftFromText="180" w:rightFromText="180" w:vertAnchor="text" w:horzAnchor="page" w:tblpX="1458" w:tblpY="16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93"/>
        <w:gridCol w:w="6945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评价项目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说课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清晰地说明教学目标、教学内容及重点与难点、教学思路、教学手段与方法等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教学设计（15分）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目标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知识、能力、价值观目标是否明确，教学目的是否符合《课程标准》的要求和学生实际，知识技能、能力培养、思想教育的要求是否明确、恰当、可行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是否体现教学目标，知识讲解是否具有科学性、系统性，是否做到理论联系实际，教材的理解与处理是否具有科学性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140" w:firstLineChars="5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教学基本功（15分）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语言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教学语言是否清晰、准确、简练、通俗、生动、逻辑严谨，是否运用普通话教学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板书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设计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板书设计是否具有科学性，是否工整、美观、简明、扼要，条理清楚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手段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能否熟练运用现代化教学设备、仪器和现代化教学手段进行教学、演示、讲解，演示和讲解能否有机结合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教学过程（40分）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教学方法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方法选择是否灵活多样，是否与教学目的和教学内容相适应，是否与学生的年龄特征相适应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教学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结构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教学安排的循序渐进性、层次分明性、系统完整性、密切适中性如何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时间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分配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  <w:lang w:val="en-US" w:eastAsia="zh-CN"/>
              </w:rPr>
              <w:t>课堂上</w:t>
            </w: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讲、练、演示、板书各环节及主次内容的时间分配是否合理，能否做到精讲多练，加强能力培养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激发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兴趣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是否有意识、恰当</w:t>
            </w:r>
            <w:r>
              <w:rPr>
                <w:rFonts w:hint="eastAsia" w:ascii="宋体" w:eastAsia="宋体" w:cs="宋体"/>
                <w:kern w:val="0"/>
                <w:sz w:val="28"/>
                <w:szCs w:val="28"/>
                <w:lang w:val="en-US" w:eastAsia="zh-CN"/>
              </w:rPr>
              <w:t>地</w:t>
            </w: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运用生动的实例激发学生的学习动机，培养学生的学习兴趣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</w:rPr>
              <w:t>回答问题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</w:tr>
    </w:tbl>
    <w:p>
      <w:pPr>
        <w:spacing w:before="120" w:beforeLines="50" w:line="400" w:lineRule="exac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四、奖励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本次活动设一等奖3名，二等奖7名，</w:t>
      </w:r>
      <w:r>
        <w:rPr>
          <w:rFonts w:hint="eastAsia"/>
          <w:sz w:val="28"/>
          <w:szCs w:val="28"/>
          <w:lang w:val="en-US" w:eastAsia="zh-CN"/>
        </w:rPr>
        <w:t>其余为</w:t>
      </w:r>
      <w:r>
        <w:rPr>
          <w:rFonts w:hint="eastAsia"/>
          <w:sz w:val="28"/>
          <w:szCs w:val="28"/>
        </w:rPr>
        <w:t>优秀奖。学院颁发获奖证书。</w:t>
      </w:r>
    </w:p>
    <w:p>
      <w:pPr>
        <w:spacing w:line="400" w:lineRule="exact"/>
        <w:ind w:left="5741" w:leftChars="2734"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西北师范大学教育学院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年11月2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sectPr>
      <w:pgSz w:w="12240" w:h="15840"/>
      <w:pgMar w:top="993" w:right="1800" w:bottom="1134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5882"/>
    <w:rsid w:val="00016937"/>
    <w:rsid w:val="00021A5D"/>
    <w:rsid w:val="00036059"/>
    <w:rsid w:val="00041D34"/>
    <w:rsid w:val="00090376"/>
    <w:rsid w:val="000D296E"/>
    <w:rsid w:val="000D4C90"/>
    <w:rsid w:val="00155FEC"/>
    <w:rsid w:val="00191ADB"/>
    <w:rsid w:val="001B47F6"/>
    <w:rsid w:val="002037B0"/>
    <w:rsid w:val="0020520A"/>
    <w:rsid w:val="00252B35"/>
    <w:rsid w:val="00263DE7"/>
    <w:rsid w:val="002C39F6"/>
    <w:rsid w:val="003071F4"/>
    <w:rsid w:val="003665FA"/>
    <w:rsid w:val="003D01B3"/>
    <w:rsid w:val="003F4D6C"/>
    <w:rsid w:val="00407D84"/>
    <w:rsid w:val="00412AED"/>
    <w:rsid w:val="00455E2F"/>
    <w:rsid w:val="0048100F"/>
    <w:rsid w:val="004935BE"/>
    <w:rsid w:val="004C1E03"/>
    <w:rsid w:val="005B4A61"/>
    <w:rsid w:val="005C7097"/>
    <w:rsid w:val="00645882"/>
    <w:rsid w:val="00647117"/>
    <w:rsid w:val="0066367A"/>
    <w:rsid w:val="0073522B"/>
    <w:rsid w:val="00752958"/>
    <w:rsid w:val="007609B8"/>
    <w:rsid w:val="00784CE7"/>
    <w:rsid w:val="00790B2D"/>
    <w:rsid w:val="007A1174"/>
    <w:rsid w:val="007B341C"/>
    <w:rsid w:val="007C5ABA"/>
    <w:rsid w:val="007F6B56"/>
    <w:rsid w:val="00813C6F"/>
    <w:rsid w:val="008219BB"/>
    <w:rsid w:val="0089020E"/>
    <w:rsid w:val="008937B8"/>
    <w:rsid w:val="00894833"/>
    <w:rsid w:val="008A2072"/>
    <w:rsid w:val="008B02A9"/>
    <w:rsid w:val="008D0C2B"/>
    <w:rsid w:val="008D624C"/>
    <w:rsid w:val="008E6E6A"/>
    <w:rsid w:val="00914ED6"/>
    <w:rsid w:val="00963E8A"/>
    <w:rsid w:val="009F21A5"/>
    <w:rsid w:val="00A07EAD"/>
    <w:rsid w:val="00AA2397"/>
    <w:rsid w:val="00AD3629"/>
    <w:rsid w:val="00B02D03"/>
    <w:rsid w:val="00B867B6"/>
    <w:rsid w:val="00BC3575"/>
    <w:rsid w:val="00BF53F8"/>
    <w:rsid w:val="00C728CE"/>
    <w:rsid w:val="00C877BD"/>
    <w:rsid w:val="00CD3B78"/>
    <w:rsid w:val="00CF7F10"/>
    <w:rsid w:val="00D839D6"/>
    <w:rsid w:val="00DF0F30"/>
    <w:rsid w:val="00E00196"/>
    <w:rsid w:val="00E25F08"/>
    <w:rsid w:val="00E4538F"/>
    <w:rsid w:val="00E60737"/>
    <w:rsid w:val="00E65F2F"/>
    <w:rsid w:val="00E775FF"/>
    <w:rsid w:val="00EA16FD"/>
    <w:rsid w:val="00EE5ACA"/>
    <w:rsid w:val="00F318EC"/>
    <w:rsid w:val="00F31A17"/>
    <w:rsid w:val="00F428D4"/>
    <w:rsid w:val="00FA1C65"/>
    <w:rsid w:val="00FC4193"/>
    <w:rsid w:val="00FD2A88"/>
    <w:rsid w:val="02B6470E"/>
    <w:rsid w:val="03711789"/>
    <w:rsid w:val="03A15D60"/>
    <w:rsid w:val="03DF7D34"/>
    <w:rsid w:val="05EE7473"/>
    <w:rsid w:val="063E4454"/>
    <w:rsid w:val="08E50235"/>
    <w:rsid w:val="09DD06AF"/>
    <w:rsid w:val="09F75D0F"/>
    <w:rsid w:val="0C4C4E85"/>
    <w:rsid w:val="0C6404B7"/>
    <w:rsid w:val="1079040E"/>
    <w:rsid w:val="121B76DF"/>
    <w:rsid w:val="134E2E8D"/>
    <w:rsid w:val="15166478"/>
    <w:rsid w:val="15F71FA0"/>
    <w:rsid w:val="17D94F0F"/>
    <w:rsid w:val="18F05C16"/>
    <w:rsid w:val="19FE2FDD"/>
    <w:rsid w:val="1A4E335D"/>
    <w:rsid w:val="1FD25D14"/>
    <w:rsid w:val="24A548FF"/>
    <w:rsid w:val="25936CFB"/>
    <w:rsid w:val="26F4410C"/>
    <w:rsid w:val="29923AB7"/>
    <w:rsid w:val="2ACD1E2C"/>
    <w:rsid w:val="2D8565A8"/>
    <w:rsid w:val="2DCD0D82"/>
    <w:rsid w:val="33B747EB"/>
    <w:rsid w:val="33BE765C"/>
    <w:rsid w:val="3A03123A"/>
    <w:rsid w:val="3DE64E43"/>
    <w:rsid w:val="414A6E12"/>
    <w:rsid w:val="41EE02CA"/>
    <w:rsid w:val="433C67BA"/>
    <w:rsid w:val="4606381E"/>
    <w:rsid w:val="47C2289F"/>
    <w:rsid w:val="48930A23"/>
    <w:rsid w:val="497E4F8E"/>
    <w:rsid w:val="4C24492C"/>
    <w:rsid w:val="4D521B9B"/>
    <w:rsid w:val="4DDB3226"/>
    <w:rsid w:val="4DF52C47"/>
    <w:rsid w:val="4F945C8B"/>
    <w:rsid w:val="519C2CD4"/>
    <w:rsid w:val="52613264"/>
    <w:rsid w:val="53DD04F1"/>
    <w:rsid w:val="55426F43"/>
    <w:rsid w:val="567723B2"/>
    <w:rsid w:val="5AC462A7"/>
    <w:rsid w:val="5ADA2798"/>
    <w:rsid w:val="5C661537"/>
    <w:rsid w:val="5DE751C8"/>
    <w:rsid w:val="5EC86114"/>
    <w:rsid w:val="61BB4898"/>
    <w:rsid w:val="6204232E"/>
    <w:rsid w:val="626448CA"/>
    <w:rsid w:val="6B881155"/>
    <w:rsid w:val="6E806FCE"/>
    <w:rsid w:val="6F407180"/>
    <w:rsid w:val="7013449E"/>
    <w:rsid w:val="714077D4"/>
    <w:rsid w:val="73D26568"/>
    <w:rsid w:val="73F92083"/>
    <w:rsid w:val="76391502"/>
    <w:rsid w:val="79760B8F"/>
    <w:rsid w:val="7AEC795F"/>
    <w:rsid w:val="7D827E3F"/>
    <w:rsid w:val="7E225733"/>
    <w:rsid w:val="7F066779"/>
    <w:rsid w:val="7FA91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222</Words>
  <Characters>1269</Characters>
  <Lines>10</Lines>
  <Paragraphs>2</Paragraphs>
  <TotalTime>6</TotalTime>
  <ScaleCrop>false</ScaleCrop>
  <LinksUpToDate>false</LinksUpToDate>
  <CharactersWithSpaces>1489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2015-10-19T09:44:00Z</dcterms:created>
  <dc:creator>Billzhao</dc:creator>
  <cp:lastModifiedBy>清凤</cp:lastModifiedBy>
  <cp:lastPrinted>2017-11-30T02:51:00Z</cp:lastPrinted>
  <dcterms:modified xsi:type="dcterms:W3CDTF">2019-11-22T03:36:05Z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